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F3" w:rsidRDefault="00655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Доклад о деятельности Управления  по надзору </w:t>
      </w:r>
      <w:r>
        <w:rPr>
          <w:rFonts w:ascii="Times New Roman" w:hAnsi="Times New Roman"/>
          <w:b/>
          <w:sz w:val="28"/>
          <w:szCs w:val="28"/>
          <w:lang w:eastAsia="ru-RU"/>
        </w:rPr>
        <w:br/>
        <w:t xml:space="preserve"> за объектами нефтегазового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комплексоа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в 2022 году</w:t>
      </w: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№1.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44546A" w:themeColor="text2"/>
          <w:sz w:val="28"/>
          <w:szCs w:val="28"/>
        </w:rPr>
      </w:pP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Слайд 2.</w:t>
      </w:r>
      <w:r>
        <w:rPr>
          <w:rFonts w:ascii="Times New Roman" w:hAnsi="Times New Roman"/>
          <w:b/>
          <w:sz w:val="28"/>
          <w:szCs w:val="28"/>
        </w:rPr>
        <w:t xml:space="preserve"> Сфера деятельности Управления в области промышленной безопасности на объектах нефтегазового комплекса.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/>
          <w:b/>
          <w:bCs/>
          <w:sz w:val="28"/>
          <w:szCs w:val="28"/>
        </w:rPr>
        <w:t>организацию и осуществление федерального государственного надзора в области промышленной безопасности ОПО нефтегазового комплекса: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надзор в нефтегазодобывающей промышленности; 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надзор за объектами трубопроводного транспорта; 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надзор за объектами газораспределения и </w:t>
      </w:r>
      <w:proofErr w:type="spellStart"/>
      <w:r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42FF3" w:rsidRDefault="00655BDE">
      <w:pPr>
        <w:pStyle w:val="a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участие в осуществлении государственного строительного надзора на опасных производственных объектах нефтегазового комплекса в рамках реализации крупных инвестиционных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42FF3" w:rsidRDefault="00242F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Слайд 3.</w:t>
      </w:r>
      <w:r>
        <w:rPr>
          <w:rFonts w:ascii="Times New Roman" w:hAnsi="Times New Roman"/>
          <w:b/>
          <w:sz w:val="28"/>
          <w:szCs w:val="28"/>
        </w:rPr>
        <w:t xml:space="preserve"> Осуществление надзора за объектами нефтегазового комплекса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надзор в области промышленной безопасности по указанным отраслевым направлениям нефтегазового комплекса осуществляется в отношении 6404 опасных производственных объектов, из них: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ab/>
        <w:t>69 ОПО I класса опасности;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ab/>
        <w:t>446 ОПО II класса опасности;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ab/>
        <w:t>5318 ОПО III класса опасности;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</w:rPr>
        <w:tab/>
        <w:t>571 ОПО IV класса опасности.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около </w:t>
      </w:r>
      <w:r>
        <w:rPr>
          <w:rFonts w:ascii="Times New Roman" w:hAnsi="Times New Roman"/>
          <w:b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 xml:space="preserve"> % опасных производственных объектов нефтегазового комплекса составляют объекты газораспределения и </w:t>
      </w:r>
      <w:proofErr w:type="spellStart"/>
      <w:r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(4826 объектов). Число поднадзорных организаций (юридических лиц и индивидуальных предпринимателей), подлежащих надзору, составляет около </w:t>
      </w:r>
      <w:r>
        <w:rPr>
          <w:rFonts w:ascii="Times New Roman" w:hAnsi="Times New Roman"/>
          <w:b/>
          <w:sz w:val="28"/>
          <w:szCs w:val="28"/>
        </w:rPr>
        <w:t>2750</w:t>
      </w:r>
      <w:r>
        <w:rPr>
          <w:rFonts w:ascii="Times New Roman" w:hAnsi="Times New Roman"/>
          <w:sz w:val="28"/>
          <w:szCs w:val="28"/>
        </w:rPr>
        <w:t xml:space="preserve"> . </w:t>
      </w: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42FF3" w:rsidRDefault="00655BDE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Слайд 4.</w:t>
      </w:r>
      <w:r>
        <w:rPr>
          <w:rFonts w:ascii="Times New Roman" w:hAnsi="Times New Roman"/>
          <w:b/>
          <w:sz w:val="28"/>
          <w:szCs w:val="28"/>
        </w:rPr>
        <w:t xml:space="preserve"> Показатели контрольно-надзорной деятельности 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контрольно-надзорной деятельности нефтегазового комплекса Управления  представлены в таблице:</w:t>
      </w:r>
    </w:p>
    <w:tbl>
      <w:tblPr>
        <w:tblStyle w:val="28"/>
        <w:tblW w:w="10267" w:type="dxa"/>
        <w:tblLayout w:type="fixed"/>
        <w:tblLook w:val="04A0" w:firstRow="1" w:lastRow="0" w:firstColumn="1" w:lastColumn="0" w:noHBand="0" w:noVBand="1"/>
      </w:tblPr>
      <w:tblGrid>
        <w:gridCol w:w="3073"/>
        <w:gridCol w:w="743"/>
        <w:gridCol w:w="745"/>
        <w:gridCol w:w="896"/>
        <w:gridCol w:w="746"/>
        <w:gridCol w:w="748"/>
        <w:gridCol w:w="752"/>
        <w:gridCol w:w="761"/>
        <w:gridCol w:w="8"/>
        <w:gridCol w:w="708"/>
        <w:gridCol w:w="31"/>
        <w:gridCol w:w="820"/>
        <w:gridCol w:w="236"/>
      </w:tblGrid>
      <w:tr w:rsidR="00242FF3" w:rsidTr="007C253B">
        <w:trPr>
          <w:gridAfter w:val="1"/>
          <w:wAfter w:w="236" w:type="dxa"/>
          <w:trHeight w:val="278"/>
        </w:trPr>
        <w:tc>
          <w:tcPr>
            <w:tcW w:w="3073" w:type="dxa"/>
            <w:vMerge w:val="restart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384" w:type="dxa"/>
            <w:gridSpan w:val="3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ГС</w:t>
            </w:r>
          </w:p>
        </w:tc>
        <w:tc>
          <w:tcPr>
            <w:tcW w:w="2246" w:type="dxa"/>
            <w:gridSpan w:val="3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МТТ</w:t>
            </w:r>
          </w:p>
        </w:tc>
        <w:tc>
          <w:tcPr>
            <w:tcW w:w="2328" w:type="dxa"/>
            <w:gridSpan w:val="5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НД</w:t>
            </w:r>
          </w:p>
        </w:tc>
      </w:tr>
      <w:tr w:rsidR="00242FF3" w:rsidTr="007C253B">
        <w:trPr>
          <w:gridAfter w:val="1"/>
          <w:wAfter w:w="236" w:type="dxa"/>
          <w:trHeight w:val="177"/>
        </w:trPr>
        <w:tc>
          <w:tcPr>
            <w:tcW w:w="3073" w:type="dxa"/>
            <w:vMerge/>
          </w:tcPr>
          <w:p w:rsidR="00242FF3" w:rsidRDefault="00242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45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96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46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48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52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761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47" w:type="dxa"/>
            <w:gridSpan w:val="3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20" w:type="dxa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проверок (мероприятий по контролю), проведенных в отношении юридических лиц, индивидуальных предпринимателей, всего, в том числе: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2428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2496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+ 68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+120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-40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плановые проверки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- 425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-28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- 64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внеплановые проверки - всего, из них по следующим основаниям: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+1388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-106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предписаний, выданных по результатам проведенной ранее проверки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- 389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-103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обращениям и заявлениям граждан,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режиме постоянного государственного надзора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+167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+130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контролю, связанные с приемкой и пуском в эксплуатацию объектов и оборудования в соответствии с положениями нормативных правовых актов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+894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42FF3" w:rsidTr="007C253B">
        <w:trPr>
          <w:gridAfter w:val="1"/>
          <w:wAfter w:w="236" w:type="dxa"/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Выявлено правонарушений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7975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- 6358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761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747" w:type="dxa"/>
            <w:gridSpan w:val="3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820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-511</w:t>
            </w:r>
          </w:p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административных наказаний, наложенных по итогам проверок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-483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административное приостановление деятельности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-27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предупреждение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-94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+ 6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 штраф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-362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аварий на ОПО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  <w:tr w:rsidR="00242FF3" w:rsidTr="007C253B">
        <w:trPr>
          <w:trHeight w:val="145"/>
        </w:trPr>
        <w:tc>
          <w:tcPr>
            <w:tcW w:w="3073" w:type="dxa"/>
          </w:tcPr>
          <w:p w:rsidR="00242FF3" w:rsidRDefault="00655BD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инцидентов на ОПО, всего, в том числе:</w:t>
            </w:r>
          </w:p>
        </w:tc>
        <w:tc>
          <w:tcPr>
            <w:tcW w:w="743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45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-36</w:t>
            </w:r>
          </w:p>
        </w:tc>
        <w:tc>
          <w:tcPr>
            <w:tcW w:w="746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8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9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242FF3" w:rsidRDefault="00655BDE" w:rsidP="007C253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42FF3" w:rsidRDefault="00655BD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42FF3" w:rsidRDefault="00242FF3"/>
        </w:tc>
      </w:tr>
    </w:tbl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сравнению с аналогичным периодом 2021 года понижение основных показателей надзорной деятельности  допущено в связи с тем, что на основании постановления Правительства РФ от 10.03.2022 г. № 336 «Об особенностях </w:t>
      </w:r>
      <w:r>
        <w:rPr>
          <w:rFonts w:ascii="Times New Roman" w:hAnsi="Times New Roman"/>
          <w:sz w:val="28"/>
          <w:szCs w:val="28"/>
        </w:rPr>
        <w:lastRenderedPageBreak/>
        <w:t>организации и осуществления государственного контроля (надзора), муниципального контроля» установлены ограничения в отношении видов контроля, которые регулируются Федеральным законом от 31.07.2020 г. № 248-ФЗ.</w:t>
      </w:r>
      <w:proofErr w:type="gramEnd"/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указанного Постановления Правительства в 2022 году не проводились плановые контрольные (надзорные) мероприятия, ОПО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класса опасности, а также проверки ранее выданных предписаний.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Слайд 5.</w:t>
      </w:r>
      <w:r>
        <w:rPr>
          <w:rFonts w:ascii="Times New Roman" w:hAnsi="Times New Roman"/>
          <w:b/>
          <w:sz w:val="28"/>
          <w:szCs w:val="28"/>
        </w:rPr>
        <w:t xml:space="preserve"> Профилактические мероприятия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федерального государственного надзора в 2022 году Управлением проведены следующие виды профилактических мероприятий: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информирование: -457;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обобщение правоприменительной практики: - 4;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объявление предостережений: - 129;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меры стимулирования добросовестности, предусматривающие оценку соответствия организации, эксплуатирующей опасные производственные объекты, критериям добросовестности за 5 лет:- 2;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консультирование:-  199.</w:t>
      </w: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Слайд 6.</w:t>
      </w:r>
      <w:r>
        <w:rPr>
          <w:rFonts w:ascii="Times New Roman" w:hAnsi="Times New Roman"/>
          <w:b/>
          <w:sz w:val="28"/>
          <w:szCs w:val="28"/>
        </w:rPr>
        <w:t xml:space="preserve"> Показатели аварийности на опасных производственных объектах нефтегазового комплекса Средне-Поволжского 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242FF3" w:rsidRDefault="00655BD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2022 год на поднадзорных объектах нефтегазодобывающей промышленности, магистрального трубопровода, аварий и инцидентов не зарегистрировано.</w:t>
      </w:r>
    </w:p>
    <w:p w:rsidR="004958FB" w:rsidRDefault="00655BDE" w:rsidP="004958F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объектах газораспределения и </w:t>
      </w:r>
      <w:proofErr w:type="spellStart"/>
      <w:r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в 2022 произошло 33 инцидента при эксплу</w:t>
      </w:r>
      <w:r w:rsidR="004958FB">
        <w:rPr>
          <w:rFonts w:ascii="Times New Roman" w:hAnsi="Times New Roman"/>
          <w:sz w:val="28"/>
          <w:szCs w:val="28"/>
        </w:rPr>
        <w:t xml:space="preserve">атации сетей газораспределения, из них по Ульяновской области 9 инцидентов 6 </w:t>
      </w:r>
      <w:r w:rsidR="004958FB">
        <w:rPr>
          <w:rFonts w:ascii="Times New Roman" w:hAnsi="Times New Roman"/>
          <w:sz w:val="28"/>
          <w:szCs w:val="28"/>
          <w:lang w:eastAsia="ru-RU"/>
        </w:rPr>
        <w:t>п</w:t>
      </w:r>
      <w:r w:rsidR="004958FB" w:rsidRPr="0053735D">
        <w:rPr>
          <w:rFonts w:ascii="Times New Roman" w:hAnsi="Times New Roman"/>
          <w:sz w:val="28"/>
          <w:szCs w:val="28"/>
          <w:lang w:eastAsia="ru-RU"/>
        </w:rPr>
        <w:t xml:space="preserve">овреждение </w:t>
      </w:r>
      <w:proofErr w:type="gramStart"/>
      <w:r w:rsidR="004958FB" w:rsidRPr="0053735D">
        <w:rPr>
          <w:rFonts w:ascii="Times New Roman" w:hAnsi="Times New Roman"/>
          <w:sz w:val="28"/>
          <w:szCs w:val="28"/>
          <w:lang w:eastAsia="ru-RU"/>
        </w:rPr>
        <w:t>г-да</w:t>
      </w:r>
      <w:proofErr w:type="gramEnd"/>
      <w:r w:rsidR="004958FB" w:rsidRPr="0053735D">
        <w:rPr>
          <w:rFonts w:ascii="Times New Roman" w:hAnsi="Times New Roman"/>
          <w:sz w:val="28"/>
          <w:szCs w:val="28"/>
          <w:lang w:eastAsia="ru-RU"/>
        </w:rPr>
        <w:t xml:space="preserve"> а/транспортом</w:t>
      </w:r>
      <w:r w:rsidR="004958FB">
        <w:rPr>
          <w:rFonts w:ascii="Times New Roman" w:hAnsi="Times New Roman"/>
          <w:sz w:val="28"/>
          <w:szCs w:val="28"/>
          <w:lang w:eastAsia="ru-RU"/>
        </w:rPr>
        <w:t xml:space="preserve"> (неустановленными сторонними организациями) </w:t>
      </w:r>
      <w:r w:rsidR="004958FB" w:rsidRPr="005373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58FB">
        <w:rPr>
          <w:rFonts w:ascii="Times New Roman" w:hAnsi="Times New Roman"/>
          <w:sz w:val="28"/>
          <w:szCs w:val="28"/>
          <w:lang w:eastAsia="ru-RU"/>
        </w:rPr>
        <w:t>при выполнении земляных и хозяйственных работ и 3</w:t>
      </w:r>
      <w:r w:rsidR="004958FB" w:rsidRPr="004958FB">
        <w:rPr>
          <w:rFonts w:ascii="Times New Roman" w:hAnsi="Times New Roman"/>
          <w:sz w:val="28"/>
          <w:szCs w:val="28"/>
        </w:rPr>
        <w:t xml:space="preserve"> </w:t>
      </w:r>
      <w:r w:rsidR="004958FB">
        <w:rPr>
          <w:rFonts w:ascii="Times New Roman" w:hAnsi="Times New Roman"/>
          <w:sz w:val="28"/>
          <w:szCs w:val="28"/>
        </w:rPr>
        <w:t>отклонения от режима технологического процесса.</w:t>
      </w:r>
    </w:p>
    <w:p w:rsidR="00242FF3" w:rsidRDefault="00242F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7.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Показатели аварийности на опасных производственных объектах нефтегазового комплекса в масштабах Российской Федерации.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Лидерами по аварийности, бесспорно, являются объекты III класса опасности - 21 авария или 50% от общего количества аварий. Также большое количество аварий произошло на ОПО I класса опасности – 14 аварий, 33%. На объектах II класса опасности произошло 6 аварий или 14%. На IV классе опасности зарегистрирована 1 авария.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8.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Причинам аварий на объектах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нефтегазодобычи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явились: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Выброс опасных веществ (50 %).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Неконтролируемый взрыв (34 %).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Разрушение технических устройств (8%)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Нарушение режимов работ (8%)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части работ по бурению, освоению, реконструкции и ремонту скважин: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 осуществление со стороны заказчика производственного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соблюдением требований промышленной безопасности;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допуск к работе персонала, не удовлетворяющего соответствующим квалификационным требованиям;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допуск к работе персонала, не ознакомленного перед началом работ с планами работ по бурению, освоению, реконструкции и ремонту скважин, планом мероприятий по локализации и ликвидации последствий аварий и возможными осложнениями и авариями;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необученность персонала действиям, предусмотренным ПМЛА,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отступление от плана работ или нарушение технологии производства работ по освоению, текущему и капитальному ремонту скважин;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 соблюдение расстояний размещения спецтехники и оборудования от устья скважины;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не выполнение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работ по глушению скважины перед началом работ;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отсутствие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уровнем жидкости в скважине;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нарушение схемы установки и обвязки противовыбросового оборудования на устье скважины;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несвоевременная герметизация устья скважины при первых признаках ГНВП или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не выполнение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требований ПМЛА при их обнаружении.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lastRenderedPageBreak/>
        <w:t>Слайд 9.</w:t>
      </w:r>
      <w:r>
        <w:rPr>
          <w:rFonts w:ascii="Times New Roman" w:hAnsi="Times New Roman"/>
          <w:sz w:val="28"/>
          <w:szCs w:val="28"/>
          <w:lang w:eastAsia="ru-RU"/>
        </w:rPr>
        <w:t xml:space="preserve">  С учетом ведомственной принадлежности, перечень предприятий нефтедобычи с высоким уровнем аварийности за период с 2018 года возглавляет ПАО «НК «Роснефть» - допущено 12 аварий.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группы компаний ПАО «Лукойл» - 7 аварий;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ПАО «Татнефть» имени В.Д.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Шашина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- 5 аварий;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компаниях ПАО «ГАЗПРОМ» - 3 аварии;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ПАО «АНК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Башнефть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допущено 1 авария.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FF3" w:rsidRDefault="002965C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10</w:t>
      </w:r>
      <w:r w:rsidR="00655BDE">
        <w:rPr>
          <w:rFonts w:ascii="Times New Roman" w:hAnsi="Times New Roman"/>
          <w:b/>
          <w:sz w:val="28"/>
          <w:szCs w:val="28"/>
          <w:highlight w:val="yellow"/>
          <w:lang w:eastAsia="ru-RU"/>
        </w:rPr>
        <w:t>.</w:t>
      </w:r>
      <w:r w:rsidR="00655BDE">
        <w:rPr>
          <w:rFonts w:ascii="Times New Roman" w:hAnsi="Times New Roman"/>
          <w:b/>
          <w:sz w:val="28"/>
          <w:szCs w:val="28"/>
          <w:lang w:eastAsia="ru-RU"/>
        </w:rPr>
        <w:t xml:space="preserve"> По</w:t>
      </w:r>
      <w:r w:rsidR="00655B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5BDE">
        <w:rPr>
          <w:rFonts w:ascii="Times New Roman" w:hAnsi="Times New Roman"/>
          <w:b/>
          <w:sz w:val="28"/>
          <w:szCs w:val="28"/>
          <w:lang w:eastAsia="ru-RU"/>
        </w:rPr>
        <w:t>магистральному трубопроводному транспорту</w:t>
      </w:r>
      <w:r w:rsidR="00655BDE">
        <w:rPr>
          <w:rFonts w:ascii="Times New Roman" w:hAnsi="Times New Roman"/>
          <w:sz w:val="28"/>
          <w:szCs w:val="28"/>
          <w:lang w:eastAsia="ru-RU"/>
        </w:rPr>
        <w:t xml:space="preserve"> отмечен рост аварийности по причине разрушение сооружений (с 1 до 4 аварий) и повреждение, разрушение технических устройств (с 1 до 3 аварий).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1</w:t>
      </w:r>
      <w:r w:rsidR="002965CF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С учетом ведомственной принадлежности, перечень предприятий трубопроводного транспорта с высоким уровнем аварийности за период с 2018 года возглавляет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ПАО «Газпром» - допущено 31 авария.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ПАО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Транснефть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- 4 аварии; 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ПАО «НК «Роснефть» - 2 аварии.</w:t>
      </w:r>
    </w:p>
    <w:p w:rsidR="00242FF3" w:rsidRDefault="00242FF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42FF3" w:rsidRDefault="00C2357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 12</w:t>
      </w:r>
      <w:r w:rsidR="00655BDE">
        <w:rPr>
          <w:rFonts w:ascii="Times New Roman" w:hAnsi="Times New Roman"/>
          <w:b/>
          <w:sz w:val="28"/>
          <w:szCs w:val="28"/>
          <w:highlight w:val="yellow"/>
          <w:lang w:eastAsia="ru-RU"/>
        </w:rPr>
        <w:t>.</w:t>
      </w:r>
      <w:r w:rsidR="00655BDE">
        <w:rPr>
          <w:rFonts w:ascii="Times New Roman" w:hAnsi="Times New Roman"/>
          <w:b/>
          <w:sz w:val="28"/>
          <w:szCs w:val="28"/>
          <w:lang w:eastAsia="ru-RU"/>
        </w:rPr>
        <w:t xml:space="preserve"> На</w:t>
      </w:r>
      <w:r w:rsidR="00655B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5BDE">
        <w:rPr>
          <w:rFonts w:ascii="Times New Roman" w:hAnsi="Times New Roman"/>
          <w:b/>
          <w:sz w:val="28"/>
          <w:szCs w:val="28"/>
          <w:lang w:eastAsia="ru-RU"/>
        </w:rPr>
        <w:t xml:space="preserve">объектах газораспределения и </w:t>
      </w:r>
      <w:proofErr w:type="spellStart"/>
      <w:r w:rsidR="00655BDE">
        <w:rPr>
          <w:rFonts w:ascii="Times New Roman" w:hAnsi="Times New Roman"/>
          <w:b/>
          <w:sz w:val="28"/>
          <w:szCs w:val="28"/>
          <w:lang w:eastAsia="ru-RU"/>
        </w:rPr>
        <w:t>газопотребления</w:t>
      </w:r>
      <w:proofErr w:type="spellEnd"/>
      <w:r w:rsidR="00655BDE">
        <w:rPr>
          <w:rFonts w:ascii="Times New Roman" w:hAnsi="Times New Roman"/>
          <w:sz w:val="28"/>
          <w:szCs w:val="28"/>
          <w:lang w:eastAsia="ru-RU"/>
        </w:rPr>
        <w:t xml:space="preserve"> аварийность по причине повреждение, разрушение </w:t>
      </w:r>
      <w:proofErr w:type="gramStart"/>
      <w:r w:rsidR="00655BDE">
        <w:rPr>
          <w:rFonts w:ascii="Times New Roman" w:hAnsi="Times New Roman"/>
          <w:sz w:val="28"/>
          <w:szCs w:val="28"/>
          <w:lang w:eastAsia="ru-RU"/>
        </w:rPr>
        <w:t>технический</w:t>
      </w:r>
      <w:proofErr w:type="gramEnd"/>
      <w:r w:rsidR="00655BDE">
        <w:rPr>
          <w:rFonts w:ascii="Times New Roman" w:hAnsi="Times New Roman"/>
          <w:sz w:val="28"/>
          <w:szCs w:val="28"/>
          <w:lang w:eastAsia="ru-RU"/>
        </w:rPr>
        <w:t xml:space="preserve"> устройств сократилась с 5 в 2021 году (41 %) до 3 в 2022 году (25%). По причине неконтролируемый взрыв количество аварий наоборот увеличилось на 2 аварии в 2021 году (17%) до 4 в 2022 году (33%).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учетом ведомственной принадлежности, перечень предприятий газораспределения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газопотребления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 высоким уровнем аварийности за период с 2018 года возглавляет ПАО «Газпром» - допущено 50 аварий.</w:t>
      </w:r>
    </w:p>
    <w:p w:rsidR="00242FF3" w:rsidRDefault="00655BD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авариями, произошедшими на объектах нефтегазового комплекса, можно ознакомиться на официальном сайте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подразделе «Уроки, извлеченные из аварий» раздела «Надзор за объектами нефтегазового комплекса».</w:t>
      </w:r>
    </w:p>
    <w:p w:rsidR="00C2357C" w:rsidRDefault="00C2357C" w:rsidP="003C143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  <w:shd w:val="clear" w:color="auto" w:fill="FFFF00"/>
          <w:lang w:eastAsia="ru-RU"/>
        </w:rPr>
      </w:pPr>
    </w:p>
    <w:p w:rsidR="00242FF3" w:rsidRDefault="00655BD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</w:t>
      </w:r>
      <w:r w:rsidR="00AF24B3">
        <w:rPr>
          <w:rFonts w:ascii="Times New Roman" w:hAnsi="Times New Roman"/>
          <w:b/>
          <w:sz w:val="28"/>
          <w:szCs w:val="28"/>
          <w:highlight w:val="yellow"/>
          <w:lang w:eastAsia="ru-RU"/>
        </w:rPr>
        <w:t>д13</w:t>
      </w: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Проблемные вопросы по направлению нефтегазового комплекса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lastRenderedPageBreak/>
        <w:t>Проблемные вопросы по направлению нефтегазового комплекса.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 xml:space="preserve">1. Объекты сетей газораспределения и </w:t>
      </w:r>
      <w:proofErr w:type="spellStart"/>
      <w:r w:rsidRPr="00575BCC">
        <w:rPr>
          <w:rFonts w:ascii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575BCC">
        <w:rPr>
          <w:rFonts w:ascii="Times New Roman" w:hAnsi="Times New Roman"/>
          <w:sz w:val="28"/>
          <w:szCs w:val="28"/>
          <w:lang w:eastAsia="ru-RU"/>
        </w:rPr>
        <w:t>: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крайне медленный процесс регистрации в собственность газовых сетей муниципальными образованиями, на территории которых находятся бесхозяйные газовые сети;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 физическое и моральное устаревание газового оборудования и газовых сетей;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 частая смена форм собственности и владельцев предприятий, непосредственно влияющая на уровень безопасности эксплуатируемых объектов;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 xml:space="preserve">- владение опасными производственными объектами  физическими лицами, в отношении которых </w:t>
      </w:r>
      <w:proofErr w:type="spellStart"/>
      <w:r w:rsidRPr="00575BCC">
        <w:rPr>
          <w:rFonts w:ascii="Times New Roman" w:hAnsi="Times New Roman"/>
          <w:sz w:val="28"/>
          <w:szCs w:val="28"/>
          <w:lang w:eastAsia="ru-RU"/>
        </w:rPr>
        <w:t>Ростехнадзор</w:t>
      </w:r>
      <w:proofErr w:type="spellEnd"/>
      <w:r w:rsidRPr="00575BCC">
        <w:rPr>
          <w:rFonts w:ascii="Times New Roman" w:hAnsi="Times New Roman"/>
          <w:sz w:val="28"/>
          <w:szCs w:val="28"/>
          <w:lang w:eastAsia="ru-RU"/>
        </w:rPr>
        <w:t xml:space="preserve"> не осуществляет контрольн</w:t>
      </w:r>
      <w:proofErr w:type="gramStart"/>
      <w:r w:rsidRPr="00575BCC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575BCC">
        <w:rPr>
          <w:rFonts w:ascii="Times New Roman" w:hAnsi="Times New Roman"/>
          <w:sz w:val="28"/>
          <w:szCs w:val="28"/>
          <w:lang w:eastAsia="ru-RU"/>
        </w:rPr>
        <w:t xml:space="preserve"> надзорную деятельность и действие нормативно-правовых актов в области промышленной безопасности не распространяется на физических лиц;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снижение квалификации работников предприятий, занятых эксплуатацией ОПО.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2.</w:t>
      </w:r>
      <w:r w:rsidRPr="00575BC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5BCC">
        <w:rPr>
          <w:rFonts w:ascii="Times New Roman" w:hAnsi="Times New Roman"/>
          <w:sz w:val="28"/>
          <w:szCs w:val="28"/>
          <w:lang w:eastAsia="ru-RU"/>
        </w:rPr>
        <w:t>Основные проблемы, связанные с обеспечением промышленной безопасности и противоаварийной устойчивости на объектах нефтегазодобывающего комплекса и магистрального трубопровода: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 моральное старение и физический износ основных производственных фондов на производственных участках ОПО;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низкий темп замены устаревшего оборудования и несвоевременное проведение его технического диагностирования для определения остаточного ресурса;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>- существующие методы диагностирования, применяемые при проведении экспертизы промышленной безопасности, недостаточно эффективны и не позволяют в полной мере оценить техническое состояние объекта экспертизы;</w:t>
      </w:r>
    </w:p>
    <w:p w:rsidR="00AF24B3" w:rsidRPr="00575BCC" w:rsidRDefault="00AF24B3" w:rsidP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5BCC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9663F">
        <w:rPr>
          <w:rFonts w:ascii="Times New Roman" w:hAnsi="Times New Roman"/>
          <w:sz w:val="28"/>
          <w:szCs w:val="28"/>
          <w:lang w:eastAsia="ru-RU"/>
        </w:rPr>
        <w:t>нижение уровня квалификации, недостаточная подготовка в области промышленной безопасности лиц, осуществляющих производственный контроль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F24B3" w:rsidRDefault="00BA0D4C" w:rsidP="00932F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b/>
          <w:sz w:val="28"/>
          <w:szCs w:val="28"/>
          <w:highlight w:val="yellow"/>
          <w:lang w:eastAsia="ru-RU"/>
        </w:rPr>
        <w:t>Слайд14.</w:t>
      </w:r>
    </w:p>
    <w:p w:rsidR="002548CB" w:rsidRDefault="002548CB" w:rsidP="002548CB">
      <w:pPr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 целью актуализации сведений о бесхозяйных объектах газоснабжения,  </w:t>
      </w:r>
      <w:r w:rsidR="007479EA">
        <w:rPr>
          <w:rFonts w:ascii="Times New Roman" w:eastAsia="Calibri" w:hAnsi="Times New Roman"/>
          <w:sz w:val="28"/>
          <w:szCs w:val="28"/>
        </w:rPr>
        <w:t xml:space="preserve">Ульяновской области </w:t>
      </w:r>
      <w:r>
        <w:rPr>
          <w:rFonts w:ascii="Times New Roman" w:eastAsia="Calibri" w:hAnsi="Times New Roman"/>
          <w:sz w:val="28"/>
          <w:szCs w:val="28"/>
        </w:rPr>
        <w:t>Управлением проведена следующая работа:</w:t>
      </w:r>
    </w:p>
    <w:p w:rsidR="007479EA" w:rsidRDefault="007479EA" w:rsidP="002548CB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/>
          <w:bCs/>
          <w:sz w:val="28"/>
          <w:szCs w:val="28"/>
        </w:rPr>
        <w:t>-</w:t>
      </w:r>
      <w:r w:rsidR="002548CB">
        <w:rPr>
          <w:rFonts w:ascii="Times New Roman" w:eastAsia="Calibri" w:hAnsi="Times New Roman"/>
          <w:bCs/>
          <w:sz w:val="28"/>
          <w:szCs w:val="28"/>
        </w:rPr>
        <w:t xml:space="preserve"> направлены письма о предоставлении информации по бесхозяйным газопроводам в районные администраций Ульяновской области, администрации городов регионального подчинения, газораспределительные организации Ульяновской области, Министерство жил</w:t>
      </w:r>
      <w:r>
        <w:rPr>
          <w:rFonts w:ascii="Times New Roman" w:eastAsia="Calibri" w:hAnsi="Times New Roman"/>
          <w:bCs/>
          <w:sz w:val="28"/>
          <w:szCs w:val="28"/>
        </w:rPr>
        <w:t>ищно - коммунального хозяйства.</w:t>
      </w:r>
      <w:proofErr w:type="gramEnd"/>
    </w:p>
    <w:p w:rsidR="002548CB" w:rsidRDefault="002548CB" w:rsidP="002548CB">
      <w:pPr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 xml:space="preserve">На основании полученных ответов проведена инвентаризация бесхозяйных газопроводов по районам Ульяновской области. </w:t>
      </w:r>
    </w:p>
    <w:p w:rsidR="002548CB" w:rsidRDefault="002548CB" w:rsidP="00407DF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Хотелось бы отметить, что из ответов, полученных от районн</w:t>
      </w:r>
      <w:r w:rsidR="00407DF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администраций Ульяновской области, определить точную протяженность сетей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невозможно, т.к.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газопроводы, не имеющие собственника или собственник которых не определен, отсутству</w:t>
      </w:r>
      <w:r w:rsidR="00407DF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407DF8">
        <w:rPr>
          <w:rFonts w:ascii="Times New Roman" w:hAnsi="Times New Roman"/>
          <w:sz w:val="28"/>
          <w:szCs w:val="28"/>
        </w:rPr>
        <w:t xml:space="preserve"> проектная, исполнительная документация</w:t>
      </w:r>
      <w:r>
        <w:rPr>
          <w:rFonts w:ascii="Times New Roman" w:hAnsi="Times New Roman"/>
          <w:sz w:val="28"/>
          <w:szCs w:val="28"/>
        </w:rPr>
        <w:t xml:space="preserve"> технические паспорта</w:t>
      </w:r>
      <w:r w:rsidR="00407DF8">
        <w:rPr>
          <w:rFonts w:ascii="Times New Roman" w:hAnsi="Times New Roman"/>
          <w:sz w:val="28"/>
          <w:szCs w:val="28"/>
        </w:rPr>
        <w:t xml:space="preserve"> не ведутся</w:t>
      </w:r>
      <w:r>
        <w:rPr>
          <w:rFonts w:ascii="Times New Roman" w:hAnsi="Times New Roman"/>
          <w:sz w:val="28"/>
          <w:szCs w:val="28"/>
        </w:rPr>
        <w:t>.</w:t>
      </w:r>
    </w:p>
    <w:p w:rsidR="002548CB" w:rsidRDefault="00407DF8" w:rsidP="002548CB">
      <w:pPr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представленной информации </w:t>
      </w:r>
      <w:r w:rsidR="002548CB">
        <w:rPr>
          <w:rFonts w:ascii="Times New Roman" w:hAnsi="Times New Roman"/>
          <w:sz w:val="28"/>
          <w:szCs w:val="28"/>
        </w:rPr>
        <w:t xml:space="preserve">протяженность </w:t>
      </w:r>
      <w:r w:rsidR="00C841EC">
        <w:rPr>
          <w:rFonts w:ascii="Times New Roman" w:hAnsi="Times New Roman"/>
          <w:sz w:val="28"/>
          <w:szCs w:val="28"/>
        </w:rPr>
        <w:t>бесхозяйных</w:t>
      </w:r>
      <w:r>
        <w:rPr>
          <w:rFonts w:ascii="Times New Roman" w:hAnsi="Times New Roman"/>
          <w:sz w:val="28"/>
          <w:szCs w:val="28"/>
        </w:rPr>
        <w:t xml:space="preserve"> газопроводов</w:t>
      </w:r>
      <w:r w:rsidR="002548CB">
        <w:rPr>
          <w:rFonts w:ascii="Times New Roman" w:hAnsi="Times New Roman"/>
          <w:sz w:val="28"/>
          <w:szCs w:val="28"/>
        </w:rPr>
        <w:t>, а именно: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2126"/>
        <w:gridCol w:w="2551"/>
      </w:tblGrid>
      <w:tr w:rsidR="00C841EC" w:rsidRPr="00C841EC" w:rsidTr="001A6639">
        <w:tc>
          <w:tcPr>
            <w:tcW w:w="3085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газ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о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проводов, технолог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и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ческого оборудов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а</w:t>
            </w: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ния.</w:t>
            </w:r>
          </w:p>
        </w:tc>
        <w:tc>
          <w:tcPr>
            <w:tcW w:w="1985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01.01.2022</w:t>
            </w:r>
          </w:p>
        </w:tc>
        <w:tc>
          <w:tcPr>
            <w:tcW w:w="2126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01.05.2023</w:t>
            </w:r>
          </w:p>
        </w:tc>
        <w:tc>
          <w:tcPr>
            <w:tcW w:w="2551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Увеличение,</w:t>
            </w:r>
          </w:p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уменьшение</w:t>
            </w:r>
          </w:p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+/-</w:t>
            </w:r>
          </w:p>
        </w:tc>
      </w:tr>
      <w:tr w:rsidR="00C841EC" w:rsidRPr="00C841EC" w:rsidTr="001A6639">
        <w:tc>
          <w:tcPr>
            <w:tcW w:w="9747" w:type="dxa"/>
            <w:gridSpan w:val="4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b/>
                <w:sz w:val="28"/>
                <w:szCs w:val="28"/>
              </w:rPr>
              <w:t>Ульяновская область</w:t>
            </w:r>
          </w:p>
        </w:tc>
      </w:tr>
      <w:tr w:rsidR="00C841EC" w:rsidRPr="00C841EC" w:rsidTr="001A6639">
        <w:tc>
          <w:tcPr>
            <w:tcW w:w="3085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sz w:val="28"/>
                <w:szCs w:val="28"/>
              </w:rPr>
              <w:t>газопроводы</w:t>
            </w:r>
          </w:p>
        </w:tc>
        <w:tc>
          <w:tcPr>
            <w:tcW w:w="1985" w:type="dxa"/>
            <w:shd w:val="clear" w:color="auto" w:fill="auto"/>
          </w:tcPr>
          <w:p w:rsidR="00C841EC" w:rsidRPr="00C841EC" w:rsidRDefault="00F51730" w:rsidP="00F51730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  <w:r w:rsidR="00E3188F" w:rsidRPr="00C841EC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 км.</w:t>
            </w:r>
          </w:p>
        </w:tc>
        <w:tc>
          <w:tcPr>
            <w:tcW w:w="2126" w:type="dxa"/>
            <w:shd w:val="clear" w:color="auto" w:fill="auto"/>
          </w:tcPr>
          <w:p w:rsidR="00C841EC" w:rsidRPr="00C841EC" w:rsidRDefault="00F51730" w:rsidP="00F51730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39</w:t>
            </w:r>
            <w:r w:rsidR="00C841EC" w:rsidRPr="00C841EC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6км.</w:t>
            </w:r>
          </w:p>
        </w:tc>
        <w:tc>
          <w:tcPr>
            <w:tcW w:w="2551" w:type="dxa"/>
            <w:shd w:val="clear" w:color="auto" w:fill="auto"/>
          </w:tcPr>
          <w:p w:rsidR="00C841EC" w:rsidRPr="00C841EC" w:rsidRDefault="00E3188F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C841EC" w:rsidRPr="00C841EC" w:rsidTr="001A6639">
        <w:tc>
          <w:tcPr>
            <w:tcW w:w="3085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sz w:val="28"/>
                <w:szCs w:val="28"/>
              </w:rPr>
              <w:t>ПРГ</w:t>
            </w:r>
          </w:p>
        </w:tc>
        <w:tc>
          <w:tcPr>
            <w:tcW w:w="1985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51730">
              <w:rPr>
                <w:rFonts w:ascii="Times New Roman" w:eastAsia="Calibri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126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F51730">
              <w:rPr>
                <w:rFonts w:ascii="Times New Roman" w:eastAsia="Calibri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551" w:type="dxa"/>
            <w:shd w:val="clear" w:color="auto" w:fill="auto"/>
          </w:tcPr>
          <w:p w:rsidR="00C841EC" w:rsidRPr="00C841EC" w:rsidRDefault="00C841EC" w:rsidP="00C841EC">
            <w:pPr>
              <w:suppressAutoHyphens w:val="0"/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841EC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</w:tbl>
    <w:p w:rsidR="00C841EC" w:rsidRDefault="00C841EC" w:rsidP="002548CB">
      <w:pPr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20BA" w:rsidRDefault="00F720BA" w:rsidP="00F720BA">
      <w:pPr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Сравнительный анализ динамики колич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ества бесхозяйных объектов остаётся на прежнем уровне в связи с тем, что для постановки на учет газопровода в качестве бесхозяйного объекта требуются определенные финансовые средства со стороны муниципальных образований. </w:t>
      </w:r>
    </w:p>
    <w:p w:rsidR="00932F50" w:rsidRPr="00F720BA" w:rsidRDefault="00F720BA" w:rsidP="00932F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В рамках профилактических мероприятий </w:t>
      </w:r>
      <w:r w:rsidR="00AF24B3" w:rsidRPr="00F720BA">
        <w:rPr>
          <w:rFonts w:ascii="Times New Roman" w:hAnsi="Times New Roman"/>
          <w:sz w:val="28"/>
          <w:szCs w:val="28"/>
          <w:lang w:eastAsia="ru-RU"/>
        </w:rPr>
        <w:t>Управлением в</w:t>
      </w:r>
      <w:r w:rsidR="00932F50" w:rsidRPr="00F720BA"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 w:rsidR="00AF24B3" w:rsidRPr="00F720BA">
        <w:rPr>
          <w:rFonts w:ascii="Times New Roman" w:hAnsi="Times New Roman"/>
          <w:sz w:val="28"/>
          <w:szCs w:val="28"/>
          <w:lang w:eastAsia="ru-RU"/>
        </w:rPr>
        <w:t>поднадзорных</w:t>
      </w:r>
      <w:r w:rsidR="00932F50" w:rsidRPr="00F720BA">
        <w:rPr>
          <w:rFonts w:ascii="Times New Roman" w:hAnsi="Times New Roman"/>
          <w:sz w:val="28"/>
          <w:szCs w:val="28"/>
          <w:lang w:eastAsia="ru-RU"/>
        </w:rPr>
        <w:t xml:space="preserve"> организаций направлены письма.</w:t>
      </w:r>
    </w:p>
    <w:p w:rsidR="00932F50" w:rsidRPr="00F720BA" w:rsidRDefault="00932F50" w:rsidP="00932F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Информация об аварийности на объектах</w:t>
      </w:r>
      <w:r w:rsidR="00AF24B3" w:rsidRPr="00F720BA">
        <w:rPr>
          <w:rFonts w:ascii="Times New Roman" w:hAnsi="Times New Roman"/>
          <w:sz w:val="28"/>
          <w:szCs w:val="28"/>
          <w:lang w:eastAsia="ru-RU"/>
        </w:rPr>
        <w:t xml:space="preserve"> нефтегазодобычи, магистрального трубопроводного транспорта,</w:t>
      </w:r>
      <w:r w:rsidRPr="00F720BA">
        <w:rPr>
          <w:rFonts w:ascii="Times New Roman" w:hAnsi="Times New Roman"/>
          <w:sz w:val="28"/>
          <w:szCs w:val="28"/>
          <w:lang w:eastAsia="ru-RU"/>
        </w:rPr>
        <w:t xml:space="preserve"> газораспределения и газопотребления.</w:t>
      </w:r>
    </w:p>
    <w:p w:rsidR="00932F50" w:rsidRPr="00F720BA" w:rsidRDefault="00AF24B3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2F50" w:rsidRPr="00F720BA">
        <w:rPr>
          <w:rFonts w:ascii="Times New Roman" w:hAnsi="Times New Roman"/>
          <w:sz w:val="28"/>
          <w:szCs w:val="28"/>
          <w:lang w:eastAsia="ru-RU"/>
        </w:rPr>
        <w:t xml:space="preserve">В целях снижения уровня аварийности и </w:t>
      </w:r>
      <w:proofErr w:type="gramStart"/>
      <w:r w:rsidR="00932F50" w:rsidRPr="00F720BA">
        <w:rPr>
          <w:rFonts w:ascii="Times New Roman" w:hAnsi="Times New Roman"/>
          <w:sz w:val="28"/>
          <w:szCs w:val="28"/>
          <w:lang w:eastAsia="ru-RU"/>
        </w:rPr>
        <w:t>принятия</w:t>
      </w:r>
      <w:proofErr w:type="gramEnd"/>
      <w:r w:rsidR="00932F50" w:rsidRPr="00F720BA">
        <w:rPr>
          <w:rFonts w:ascii="Times New Roman" w:hAnsi="Times New Roman"/>
          <w:sz w:val="28"/>
          <w:szCs w:val="28"/>
          <w:lang w:eastAsia="ru-RU"/>
        </w:rPr>
        <w:t xml:space="preserve"> превентивных мер по предупреждению аналогичных аварий Управление предлагает руководителям предприятий (организаций):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1. Проанализировать информацию о состоянии аварийности на </w:t>
      </w:r>
      <w:proofErr w:type="gramStart"/>
      <w:r w:rsidRPr="00F720BA">
        <w:rPr>
          <w:rFonts w:ascii="Times New Roman" w:hAnsi="Times New Roman"/>
          <w:sz w:val="28"/>
          <w:szCs w:val="28"/>
          <w:lang w:eastAsia="ru-RU"/>
        </w:rPr>
        <w:t>опасных</w:t>
      </w:r>
      <w:proofErr w:type="gramEnd"/>
      <w:r w:rsidRPr="00F720BA">
        <w:rPr>
          <w:rFonts w:ascii="Times New Roman" w:hAnsi="Times New Roman"/>
          <w:sz w:val="28"/>
          <w:szCs w:val="28"/>
          <w:lang w:eastAsia="ru-RU"/>
        </w:rPr>
        <w:t>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производственных </w:t>
      </w:r>
      <w:proofErr w:type="gramStart"/>
      <w:r w:rsidRPr="00F720BA">
        <w:rPr>
          <w:rFonts w:ascii="Times New Roman" w:hAnsi="Times New Roman"/>
          <w:sz w:val="28"/>
          <w:szCs w:val="28"/>
          <w:lang w:eastAsia="ru-RU"/>
        </w:rPr>
        <w:t>объектах</w:t>
      </w:r>
      <w:proofErr w:type="gramEnd"/>
      <w:r w:rsidRPr="00F720BA">
        <w:rPr>
          <w:rFonts w:ascii="Times New Roman" w:hAnsi="Times New Roman"/>
          <w:sz w:val="28"/>
          <w:szCs w:val="28"/>
          <w:lang w:eastAsia="ru-RU"/>
        </w:rPr>
        <w:t xml:space="preserve"> и довести ее до работников предприятия.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2. Провести профилактические мероприятия, обратив особое внимание на соблюдение требований «Правил охраны газораспределительных сетей», утвержденных постановлением Правительства Российской Федерации от 20.11.2000 </w:t>
      </w:r>
      <w:r w:rsidRPr="00F720BA">
        <w:rPr>
          <w:rFonts w:ascii="Times New Roman" w:hAnsi="Times New Roman"/>
          <w:sz w:val="28"/>
          <w:szCs w:val="28"/>
          <w:lang w:eastAsia="ru-RU"/>
        </w:rPr>
        <w:lastRenderedPageBreak/>
        <w:t xml:space="preserve">№ 878, Федерального закона от 21.07.1997 № 116-ФЗ «О промышленной безопасности опасных производственных объектов», в том числе </w:t>
      </w:r>
      <w:proofErr w:type="gramStart"/>
      <w:r w:rsidRPr="00F720BA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F720BA">
        <w:rPr>
          <w:rFonts w:ascii="Times New Roman" w:hAnsi="Times New Roman"/>
          <w:sz w:val="28"/>
          <w:szCs w:val="28"/>
          <w:lang w:eastAsia="ru-RU"/>
        </w:rPr>
        <w:t>: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наличие сведений о границах охранной зоны трубопровода в проектной документации;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наличие опознавательных знаков линейной части подземного трубопровода;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наличие письменного разрешения на производство работ в охранной зоне трубопровода у хозяйствующих субъектов предпринимательской деятельности;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наличие проектной и исполнительной документации у хозяйствующих субъектов предпринимательской деятельности при проведении строительных и земляных работ в охранной зоне трубопровода;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присутствие представителя эксплуатационной организации во время проведения работ в охранной зоне трубопровода;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соблюдение сроков и качества обхода трасс подземных трубопроводов эксплуатационной организацией;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соблюдение эксплуатационной организацией требований по наличию исправного состояния технических устройств и сооружений, а также программ по модернизации и реконструкции объектов;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соблюдение требований по организации и проведению газоопасных работ;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соблюдение порядка их обслуживания, ремонта, диагностики,</w:t>
      </w:r>
      <w:r w:rsidRPr="00F720BA">
        <w:t xml:space="preserve"> </w:t>
      </w:r>
      <w:r w:rsidRPr="00F720BA">
        <w:rPr>
          <w:rFonts w:ascii="Times New Roman" w:hAnsi="Times New Roman"/>
          <w:sz w:val="28"/>
          <w:szCs w:val="28"/>
          <w:lang w:eastAsia="ru-RU"/>
        </w:rPr>
        <w:t>освидетельствования и проведения экспертизы промышленной безопасности.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3. Повысить уровень организации производства работ на опасных производственных объектах, исключить допуск персонала к работе без обязательной проверки выполнения организационных и технических мероприятий при подготовке рабочих мест.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4. Обеспечивать проверку знаний персоналом нормативных правовых актов при эксплуатации объектов, персонал, не прошедший проверку знаний, к работам не допускать.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5. Обеспечить установленный порядок содержания, применения и испытания средств защиты.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6. Усилить </w:t>
      </w:r>
      <w:proofErr w:type="gramStart"/>
      <w:r w:rsidRPr="00F720B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F720BA">
        <w:rPr>
          <w:rFonts w:ascii="Times New Roman" w:hAnsi="Times New Roman"/>
          <w:sz w:val="28"/>
          <w:szCs w:val="28"/>
          <w:lang w:eastAsia="ru-RU"/>
        </w:rPr>
        <w:t xml:space="preserve"> выполнением мероприятий, обеспечивающих безопасность работ.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lastRenderedPageBreak/>
        <w:t>7. Проводить разъяснительную работу с персоналом о недопустимости самовольных действий, повышать производственную дисциплину. Особое внимание обратить на организацию производства работ в начале рабочего дня и после перерыва на обед.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>8. Обратить особое внимание на подготовку и реализацию мероприятий по антитеррористической защищенности объектов.</w:t>
      </w:r>
    </w:p>
    <w:p w:rsidR="00932F50" w:rsidRPr="00F720BA" w:rsidRDefault="00932F50" w:rsidP="00932F5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sz w:val="28"/>
          <w:szCs w:val="28"/>
          <w:lang w:eastAsia="ru-RU"/>
        </w:rPr>
        <w:t xml:space="preserve">9. Систематически информировать население о мерах безопасности на объектах сетей газораспределения и </w:t>
      </w:r>
      <w:proofErr w:type="spellStart"/>
      <w:r w:rsidRPr="00F720BA">
        <w:rPr>
          <w:rFonts w:ascii="Times New Roman" w:hAnsi="Times New Roman"/>
          <w:sz w:val="28"/>
          <w:szCs w:val="28"/>
          <w:lang w:eastAsia="ru-RU"/>
        </w:rPr>
        <w:t>газопотребления</w:t>
      </w:r>
      <w:proofErr w:type="spellEnd"/>
      <w:r w:rsidRPr="00F720BA">
        <w:rPr>
          <w:rFonts w:ascii="Times New Roman" w:hAnsi="Times New Roman"/>
          <w:sz w:val="28"/>
          <w:szCs w:val="28"/>
          <w:lang w:eastAsia="ru-RU"/>
        </w:rPr>
        <w:t>, а также  ВДГО.</w:t>
      </w:r>
    </w:p>
    <w:p w:rsidR="00242FF3" w:rsidRPr="00F720BA" w:rsidRDefault="00242FF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2FF3" w:rsidRDefault="00AF24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0BA">
        <w:rPr>
          <w:rFonts w:ascii="Times New Roman" w:hAnsi="Times New Roman"/>
          <w:b/>
          <w:sz w:val="28"/>
          <w:szCs w:val="28"/>
          <w:lang w:eastAsia="ru-RU"/>
        </w:rPr>
        <w:t>Слайд 14</w:t>
      </w:r>
      <w:r w:rsidR="00655BDE" w:rsidRPr="00F720BA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655BDE" w:rsidRPr="00F720BA">
        <w:rPr>
          <w:rFonts w:ascii="Times New Roman" w:hAnsi="Times New Roman"/>
          <w:sz w:val="28"/>
          <w:szCs w:val="28"/>
          <w:lang w:eastAsia="ru-RU"/>
        </w:rPr>
        <w:t xml:space="preserve"> Спасибо за внимание.</w:t>
      </w:r>
    </w:p>
    <w:sectPr w:rsidR="00242FF3">
      <w:headerReference w:type="default" r:id="rId8"/>
      <w:pgSz w:w="11906" w:h="16838"/>
      <w:pgMar w:top="336" w:right="424" w:bottom="568" w:left="1276" w:header="27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931" w:rsidRDefault="00AF1931">
      <w:pPr>
        <w:spacing w:after="0" w:line="240" w:lineRule="auto"/>
      </w:pPr>
      <w:r>
        <w:separator/>
      </w:r>
    </w:p>
  </w:endnote>
  <w:endnote w:type="continuationSeparator" w:id="0">
    <w:p w:rsidR="00AF1931" w:rsidRDefault="00AF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931" w:rsidRDefault="00AF1931">
      <w:pPr>
        <w:spacing w:after="0" w:line="240" w:lineRule="auto"/>
      </w:pPr>
      <w:r>
        <w:separator/>
      </w:r>
    </w:p>
  </w:footnote>
  <w:footnote w:type="continuationSeparator" w:id="0">
    <w:p w:rsidR="00AF1931" w:rsidRDefault="00AF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31" w:rsidRDefault="00AF1931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51730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AF1931" w:rsidRDefault="00AF19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FF3"/>
    <w:rsid w:val="00221BAD"/>
    <w:rsid w:val="00242FF3"/>
    <w:rsid w:val="002548CB"/>
    <w:rsid w:val="00293781"/>
    <w:rsid w:val="002965CF"/>
    <w:rsid w:val="003C143D"/>
    <w:rsid w:val="00407DF8"/>
    <w:rsid w:val="004958FB"/>
    <w:rsid w:val="00655BDE"/>
    <w:rsid w:val="007479EA"/>
    <w:rsid w:val="007C253B"/>
    <w:rsid w:val="00932F50"/>
    <w:rsid w:val="00AF1931"/>
    <w:rsid w:val="00AF24B3"/>
    <w:rsid w:val="00BA0D4C"/>
    <w:rsid w:val="00C2357C"/>
    <w:rsid w:val="00C841EC"/>
    <w:rsid w:val="00D204EB"/>
    <w:rsid w:val="00E3188F"/>
    <w:rsid w:val="00F51730"/>
    <w:rsid w:val="00F7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2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8726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F3559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F3559"/>
    <w:rPr>
      <w:color w:val="0000FF"/>
      <w:u w:val="single"/>
    </w:rPr>
  </w:style>
  <w:style w:type="character" w:customStyle="1" w:styleId="a6">
    <w:name w:val="Обычный абзац Знак"/>
    <w:link w:val="a7"/>
    <w:qFormat/>
    <w:rsid w:val="004B5C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4B5C5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Основной текст Знак"/>
    <w:basedOn w:val="a0"/>
    <w:link w:val="a9"/>
    <w:qFormat/>
    <w:rsid w:val="004B5C50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qFormat/>
    <w:rsid w:val="008726FC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8726FC"/>
    <w:rPr>
      <w:rFonts w:ascii="Calibri" w:eastAsia="Calibri" w:hAnsi="Calibri" w:cs="Times New Roman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8726FC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Основной текст с отступом Знак"/>
    <w:basedOn w:val="a0"/>
    <w:link w:val="af"/>
    <w:qFormat/>
    <w:rsid w:val="008726FC"/>
    <w:rPr>
      <w:rFonts w:ascii="Calibri" w:eastAsia="Calibri" w:hAnsi="Calibri" w:cs="Times New Roman"/>
      <w:lang w:val="x-none"/>
    </w:rPr>
  </w:style>
  <w:style w:type="character" w:customStyle="1" w:styleId="Heading12">
    <w:name w:val="Heading #12"/>
    <w:qFormat/>
    <w:rsid w:val="008726F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type="character" w:styleId="af0">
    <w:name w:val="page number"/>
    <w:basedOn w:val="a0"/>
    <w:qFormat/>
    <w:rsid w:val="008726FC"/>
  </w:style>
  <w:style w:type="character" w:customStyle="1" w:styleId="21">
    <w:name w:val="Основной текст 2 Знак"/>
    <w:basedOn w:val="a0"/>
    <w:link w:val="22"/>
    <w:uiPriority w:val="99"/>
    <w:qFormat/>
    <w:rsid w:val="008726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qFormat/>
    <w:rsid w:val="008726FC"/>
    <w:rPr>
      <w:i/>
      <w:iCs/>
    </w:rPr>
  </w:style>
  <w:style w:type="character" w:customStyle="1" w:styleId="3">
    <w:name w:val="Основной текст 3 Знак"/>
    <w:basedOn w:val="a0"/>
    <w:link w:val="30"/>
    <w:qFormat/>
    <w:rsid w:val="008726FC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FontStyle18">
    <w:name w:val="Font Style18"/>
    <w:qFormat/>
    <w:rsid w:val="008726F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8726FC"/>
    <w:rPr>
      <w:rFonts w:ascii="Times New Roman" w:hAnsi="Times New Roman" w:cs="Times New Roman"/>
      <w:b/>
      <w:bCs/>
      <w:sz w:val="22"/>
      <w:szCs w:val="22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8726FC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HTML">
    <w:name w:val="Стандартный HTML Знак"/>
    <w:basedOn w:val="a0"/>
    <w:link w:val="HTML0"/>
    <w:qFormat/>
    <w:rsid w:val="008726F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satz-Standardschriftart">
    <w:name w:val="Absatz-Standardschriftart"/>
    <w:qFormat/>
    <w:rsid w:val="008726FC"/>
  </w:style>
  <w:style w:type="character" w:styleId="af2">
    <w:name w:val="annotation reference"/>
    <w:uiPriority w:val="99"/>
    <w:semiHidden/>
    <w:unhideWhenUsed/>
    <w:qFormat/>
    <w:rsid w:val="008726FC"/>
    <w:rPr>
      <w:sz w:val="16"/>
      <w:szCs w:val="16"/>
    </w:rPr>
  </w:style>
  <w:style w:type="character" w:customStyle="1" w:styleId="af3">
    <w:name w:val="Текст примечания Знак"/>
    <w:basedOn w:val="a0"/>
    <w:link w:val="af4"/>
    <w:uiPriority w:val="99"/>
    <w:semiHidden/>
    <w:qFormat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qFormat/>
    <w:rsid w:val="00872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ing">
    <w:name w:val="Heading Знак"/>
    <w:link w:val="af7"/>
    <w:qFormat/>
    <w:rsid w:val="008726FC"/>
    <w:rPr>
      <w:rFonts w:ascii="Arial" w:eastAsia="Times New Roman" w:hAnsi="Arial" w:cs="Arial"/>
      <w:b/>
      <w:bCs/>
      <w:lang w:eastAsia="ru-RU"/>
    </w:rPr>
  </w:style>
  <w:style w:type="character" w:customStyle="1" w:styleId="23">
    <w:name w:val="Основной шрифт абзаца2"/>
    <w:qFormat/>
    <w:rsid w:val="008726FC"/>
  </w:style>
  <w:style w:type="character" w:customStyle="1" w:styleId="af8">
    <w:name w:val="Текст сноски Знак"/>
    <w:basedOn w:val="a0"/>
    <w:link w:val="af9"/>
    <w:semiHidden/>
    <w:qFormat/>
    <w:rsid w:val="008726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pt">
    <w:name w:val="Основной текст (2) + 10 pt"/>
    <w:qFormat/>
    <w:rsid w:val="008726F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qFormat/>
    <w:rsid w:val="008726F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_"/>
    <w:link w:val="26"/>
    <w:qFormat/>
    <w:rsid w:val="008726FC"/>
    <w:rPr>
      <w:rFonts w:ascii="Times New Roman" w:eastAsia="Times New Roman" w:hAnsi="Times New Roman"/>
      <w:shd w:val="clear" w:color="auto" w:fill="FFFFFF"/>
    </w:rPr>
  </w:style>
  <w:style w:type="character" w:customStyle="1" w:styleId="2105pt">
    <w:name w:val="Основной текст (2) + 10;5 pt;Курсив"/>
    <w:qFormat/>
    <w:rsid w:val="008726FC"/>
    <w:rPr>
      <w:rFonts w:ascii="Times New Roman" w:eastAsia="Times New Roman" w:hAnsi="Times New Roman"/>
      <w:i/>
      <w:iCs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qFormat/>
    <w:rsid w:val="008726F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af7">
    <w:name w:val="Заголовок"/>
    <w:next w:val="a9"/>
    <w:link w:val="Heading"/>
    <w:qFormat/>
    <w:rsid w:val="008726FC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9">
    <w:name w:val="Body Text"/>
    <w:basedOn w:val="a"/>
    <w:link w:val="a8"/>
    <w:unhideWhenUsed/>
    <w:rsid w:val="004B5C50"/>
    <w:pPr>
      <w:spacing w:after="120" w:line="259" w:lineRule="auto"/>
    </w:pPr>
  </w:style>
  <w:style w:type="paragraph" w:styleId="afa">
    <w:name w:val="List"/>
    <w:basedOn w:val="a9"/>
    <w:rPr>
      <w:rFonts w:cs="Lohit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F355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7">
    <w:name w:val="Обычный абзац"/>
    <w:basedOn w:val="a"/>
    <w:link w:val="a6"/>
    <w:qFormat/>
    <w:rsid w:val="004B5C5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0">
    <w:name w:val="Body Text Indent 2"/>
    <w:basedOn w:val="a"/>
    <w:link w:val="2"/>
    <w:qFormat/>
    <w:rsid w:val="004B5C50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customStyle="1" w:styleId="afe">
    <w:name w:val="Таблицы (моноширинный)"/>
    <w:basedOn w:val="a"/>
    <w:next w:val="a"/>
    <w:uiPriority w:val="99"/>
    <w:qFormat/>
    <w:rsid w:val="00024713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8726F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link w:val="ac"/>
    <w:uiPriority w:val="99"/>
    <w:semiHidden/>
    <w:unhideWhenUsed/>
    <w:qFormat/>
    <w:rsid w:val="008726F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f">
    <w:name w:val="List Paragraph"/>
    <w:basedOn w:val="a"/>
    <w:uiPriority w:val="34"/>
    <w:qFormat/>
    <w:rsid w:val="008726FC"/>
    <w:pPr>
      <w:ind w:left="720"/>
      <w:contextualSpacing/>
    </w:pPr>
  </w:style>
  <w:style w:type="paragraph" w:customStyle="1" w:styleId="ConsPlusNonformat">
    <w:name w:val="ConsPlusNonformat"/>
    <w:qFormat/>
    <w:rsid w:val="008726F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 Indent"/>
    <w:basedOn w:val="a"/>
    <w:link w:val="ae"/>
    <w:unhideWhenUsed/>
    <w:rsid w:val="008726FC"/>
    <w:pPr>
      <w:spacing w:after="120"/>
      <w:ind w:left="283"/>
    </w:pPr>
    <w:rPr>
      <w:lang w:val="x-none"/>
    </w:rPr>
  </w:style>
  <w:style w:type="paragraph" w:customStyle="1" w:styleId="210">
    <w:name w:val="Основной текст 21"/>
    <w:basedOn w:val="a"/>
    <w:qFormat/>
    <w:rsid w:val="008726FC"/>
    <w:pPr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0">
    <w:name w:val="Îáû÷íûé àáçàö"/>
    <w:basedOn w:val="a"/>
    <w:qFormat/>
    <w:rsid w:val="008726F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1">
    <w:name w:val="List Number"/>
    <w:basedOn w:val="a"/>
    <w:qFormat/>
    <w:rsid w:val="008726FC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8726FC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qFormat/>
    <w:rsid w:val="008726FC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3"/>
    <w:basedOn w:val="a"/>
    <w:link w:val="3"/>
    <w:unhideWhenUsed/>
    <w:qFormat/>
    <w:rsid w:val="008726FC"/>
    <w:pPr>
      <w:spacing w:after="120"/>
    </w:pPr>
    <w:rPr>
      <w:sz w:val="16"/>
      <w:szCs w:val="16"/>
      <w:lang w:val="x-none"/>
    </w:rPr>
  </w:style>
  <w:style w:type="paragraph" w:customStyle="1" w:styleId="ConsPlusTitle">
    <w:name w:val="ConsPlusTitle"/>
    <w:uiPriority w:val="99"/>
    <w:qFormat/>
    <w:rsid w:val="008726FC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2">
    <w:name w:val="No Spacing"/>
    <w:uiPriority w:val="99"/>
    <w:qFormat/>
    <w:rsid w:val="008726FC"/>
    <w:pPr>
      <w:ind w:firstLine="567"/>
      <w:jc w:val="both"/>
    </w:pPr>
    <w:rPr>
      <w:rFonts w:cs="Times New Roman"/>
    </w:rPr>
  </w:style>
  <w:style w:type="paragraph" w:styleId="aff3">
    <w:name w:val="Normal (Web)"/>
    <w:basedOn w:val="a"/>
    <w:uiPriority w:val="99"/>
    <w:qFormat/>
    <w:rsid w:val="008726F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qFormat/>
    <w:rsid w:val="008726F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1">
    <w:name w:val="Обычный1"/>
    <w:qFormat/>
    <w:rsid w:val="008726FC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9">
    <w:name w:val="Style9"/>
    <w:basedOn w:val="a"/>
    <w:qFormat/>
    <w:rsid w:val="008726FC"/>
    <w:pPr>
      <w:widowControl w:val="0"/>
      <w:spacing w:after="0" w:line="319" w:lineRule="exact"/>
      <w:ind w:firstLine="492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8726FC"/>
    <w:pPr>
      <w:spacing w:after="120"/>
      <w:ind w:left="283"/>
    </w:pPr>
    <w:rPr>
      <w:sz w:val="16"/>
      <w:szCs w:val="16"/>
      <w:lang w:val="x-none"/>
    </w:rPr>
  </w:style>
  <w:style w:type="paragraph" w:styleId="HTML0">
    <w:name w:val="HTML Preformatted"/>
    <w:basedOn w:val="a"/>
    <w:link w:val="HTML"/>
    <w:qFormat/>
    <w:rsid w:val="0087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aff4">
    <w:name w:val="Знак Знак"/>
    <w:basedOn w:val="a"/>
    <w:qFormat/>
    <w:rsid w:val="008726F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nformat">
    <w:name w:val="ConsNonformat"/>
    <w:qFormat/>
    <w:rsid w:val="008726FC"/>
    <w:pPr>
      <w:widowControl w:val="0"/>
      <w:snapToGrid w:val="0"/>
    </w:pPr>
    <w:rPr>
      <w:rFonts w:ascii="Courier New" w:eastAsia="Arial" w:hAnsi="Courier New" w:cs="Calibri"/>
      <w:sz w:val="20"/>
      <w:szCs w:val="20"/>
      <w:lang w:eastAsia="ar-SA"/>
    </w:rPr>
  </w:style>
  <w:style w:type="paragraph" w:styleId="af4">
    <w:name w:val="annotation text"/>
    <w:basedOn w:val="a"/>
    <w:link w:val="af3"/>
    <w:uiPriority w:val="99"/>
    <w:semiHidden/>
    <w:unhideWhenUsed/>
    <w:qFormat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qFormat/>
    <w:rsid w:val="008726FC"/>
    <w:rPr>
      <w:b/>
      <w:bCs/>
    </w:rPr>
  </w:style>
  <w:style w:type="paragraph" w:styleId="af9">
    <w:name w:val="footnote text"/>
    <w:basedOn w:val="a"/>
    <w:link w:val="af8"/>
    <w:semiHidden/>
    <w:rsid w:val="008726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8726F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6">
    <w:name w:val="Основной текст (2)"/>
    <w:basedOn w:val="a"/>
    <w:link w:val="25"/>
    <w:qFormat/>
    <w:rsid w:val="008726FC"/>
    <w:pPr>
      <w:widowControl w:val="0"/>
      <w:shd w:val="clear" w:color="auto" w:fill="FFFFFF"/>
      <w:spacing w:after="0" w:line="0" w:lineRule="atLeast"/>
      <w:ind w:hanging="320"/>
      <w:jc w:val="both"/>
    </w:pPr>
    <w:rPr>
      <w:rFonts w:ascii="Times New Roman" w:eastAsia="Times New Roman" w:hAnsi="Times New Roman" w:cstheme="minorBidi"/>
    </w:rPr>
  </w:style>
  <w:style w:type="paragraph" w:customStyle="1" w:styleId="40">
    <w:name w:val="Основной текст (4)"/>
    <w:basedOn w:val="a"/>
    <w:link w:val="4"/>
    <w:qFormat/>
    <w:rsid w:val="008726F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aff5">
    <w:name w:val="ТЕКСТ"/>
    <w:basedOn w:val="a"/>
    <w:qFormat/>
    <w:rsid w:val="008726FC"/>
    <w:pPr>
      <w:tabs>
        <w:tab w:val="left" w:pos="851"/>
      </w:tabs>
      <w:spacing w:after="0" w:line="360" w:lineRule="auto"/>
      <w:ind w:firstLine="709"/>
      <w:jc w:val="both"/>
      <w:outlineLvl w:val="0"/>
    </w:pPr>
    <w:rPr>
      <w:rFonts w:ascii="Times New Roman" w:hAnsi="Times New Roman"/>
      <w:bCs/>
      <w:sz w:val="28"/>
      <w:szCs w:val="28"/>
      <w:lang w:eastAsia="ru-RU"/>
    </w:rPr>
  </w:style>
  <w:style w:type="paragraph" w:customStyle="1" w:styleId="aff6">
    <w:name w:val="Объект без заливки"/>
    <w:basedOn w:val="a"/>
    <w:qFormat/>
    <w:pPr>
      <w:spacing w:after="0" w:line="200" w:lineRule="atLeast"/>
    </w:pPr>
    <w:rPr>
      <w:rFonts w:ascii="Lohit Devanagari" w:hAnsi="Lohit Devanagari"/>
      <w:kern w:val="2"/>
      <w:sz w:val="36"/>
    </w:rPr>
  </w:style>
  <w:style w:type="paragraph" w:customStyle="1" w:styleId="aff7">
    <w:name w:val="Объект без заливки и линий"/>
    <w:basedOn w:val="a"/>
    <w:qFormat/>
    <w:pPr>
      <w:spacing w:after="0" w:line="200" w:lineRule="atLeast"/>
    </w:pPr>
    <w:rPr>
      <w:rFonts w:ascii="Lohit Devanagari" w:hAnsi="Lohit Devanagari"/>
      <w:kern w:val="2"/>
      <w:sz w:val="36"/>
    </w:rPr>
  </w:style>
  <w:style w:type="paragraph" w:customStyle="1" w:styleId="A40">
    <w:name w:val="A4"/>
    <w:basedOn w:val="aff8"/>
    <w:qFormat/>
    <w:rPr>
      <w:rFonts w:ascii="Noto Sans" w:hAnsi="Noto Sans"/>
      <w:sz w:val="36"/>
    </w:rPr>
  </w:style>
  <w:style w:type="paragraph" w:styleId="aff8">
    <w:name w:val="Plain Text"/>
    <w:basedOn w:val="afb"/>
    <w:qFormat/>
  </w:style>
  <w:style w:type="paragraph" w:customStyle="1" w:styleId="41">
    <w:name w:val="Заглавие А4"/>
    <w:basedOn w:val="A40"/>
    <w:qFormat/>
    <w:rPr>
      <w:sz w:val="87"/>
    </w:rPr>
  </w:style>
  <w:style w:type="paragraph" w:customStyle="1" w:styleId="42">
    <w:name w:val="Заголовок А4"/>
    <w:basedOn w:val="A40"/>
    <w:qFormat/>
    <w:rPr>
      <w:sz w:val="48"/>
    </w:rPr>
  </w:style>
  <w:style w:type="paragraph" w:customStyle="1" w:styleId="43">
    <w:name w:val="Текст А4"/>
    <w:basedOn w:val="A40"/>
    <w:qFormat/>
  </w:style>
  <w:style w:type="paragraph" w:customStyle="1" w:styleId="A00">
    <w:name w:val="A0"/>
    <w:basedOn w:val="aff8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9">
    <w:name w:val="Графика"/>
    <w:qFormat/>
    <w:pPr>
      <w:spacing w:after="160" w:line="259" w:lineRule="auto"/>
    </w:pPr>
    <w:rPr>
      <w:rFonts w:ascii="Liberation Sans" w:eastAsia="DejaVu Sans" w:hAnsi="Liberation Sans" w:cs="Liberation Sans"/>
      <w:sz w:val="36"/>
      <w:szCs w:val="24"/>
    </w:rPr>
  </w:style>
  <w:style w:type="paragraph" w:customStyle="1" w:styleId="affa">
    <w:name w:val="Фигуры"/>
    <w:basedOn w:val="aff9"/>
    <w:qFormat/>
    <w:rPr>
      <w:b/>
      <w:sz w:val="28"/>
    </w:rPr>
  </w:style>
  <w:style w:type="paragraph" w:customStyle="1" w:styleId="affb">
    <w:name w:val="Заливка"/>
    <w:basedOn w:val="affa"/>
    <w:qFormat/>
  </w:style>
  <w:style w:type="paragraph" w:customStyle="1" w:styleId="affc">
    <w:name w:val="Заливка синим"/>
    <w:basedOn w:val="affb"/>
    <w:qFormat/>
    <w:rPr>
      <w:color w:val="FFFFFF"/>
    </w:rPr>
  </w:style>
  <w:style w:type="paragraph" w:customStyle="1" w:styleId="affd">
    <w:name w:val="Заливка зелёным"/>
    <w:basedOn w:val="affb"/>
    <w:qFormat/>
    <w:rPr>
      <w:color w:val="FFFFFF"/>
    </w:rPr>
  </w:style>
  <w:style w:type="paragraph" w:customStyle="1" w:styleId="affe">
    <w:name w:val="Заливка красным"/>
    <w:basedOn w:val="affb"/>
    <w:qFormat/>
    <w:rPr>
      <w:color w:val="FFFFFF"/>
    </w:rPr>
  </w:style>
  <w:style w:type="paragraph" w:customStyle="1" w:styleId="afff">
    <w:name w:val="Заливка жёлтым"/>
    <w:basedOn w:val="affb"/>
    <w:qFormat/>
    <w:rPr>
      <w:color w:val="FFFFFF"/>
    </w:rPr>
  </w:style>
  <w:style w:type="paragraph" w:customStyle="1" w:styleId="afff0">
    <w:name w:val="Контур"/>
    <w:basedOn w:val="affa"/>
    <w:qFormat/>
  </w:style>
  <w:style w:type="paragraph" w:customStyle="1" w:styleId="afff1">
    <w:name w:val="Контур синий"/>
    <w:basedOn w:val="afff0"/>
    <w:qFormat/>
    <w:rPr>
      <w:color w:val="355269"/>
    </w:rPr>
  </w:style>
  <w:style w:type="paragraph" w:customStyle="1" w:styleId="afff2">
    <w:name w:val="Контур зеленый"/>
    <w:basedOn w:val="afff0"/>
    <w:qFormat/>
    <w:rPr>
      <w:color w:val="127622"/>
    </w:rPr>
  </w:style>
  <w:style w:type="paragraph" w:customStyle="1" w:styleId="afff3">
    <w:name w:val="Контур красный"/>
    <w:basedOn w:val="afff0"/>
    <w:qFormat/>
    <w:rPr>
      <w:color w:val="C9211E"/>
    </w:rPr>
  </w:style>
  <w:style w:type="paragraph" w:customStyle="1" w:styleId="afff4">
    <w:name w:val="Контур жёлтый"/>
    <w:basedOn w:val="afff0"/>
    <w:qFormat/>
    <w:rPr>
      <w:color w:val="B47804"/>
    </w:rPr>
  </w:style>
  <w:style w:type="paragraph" w:customStyle="1" w:styleId="afff5">
    <w:name w:val="Линии"/>
    <w:basedOn w:val="aff9"/>
    <w:qFormat/>
  </w:style>
  <w:style w:type="paragraph" w:customStyle="1" w:styleId="afff6">
    <w:name w:val="Стрелки"/>
    <w:basedOn w:val="afff5"/>
    <w:qFormat/>
  </w:style>
  <w:style w:type="paragraph" w:customStyle="1" w:styleId="afff7">
    <w:name w:val="Штриховая линия"/>
    <w:basedOn w:val="afff5"/>
    <w:qFormat/>
  </w:style>
  <w:style w:type="paragraph" w:customStyle="1" w:styleId="BlankSlideLTGliederung1">
    <w:name w:val="Blank Slide~LT~Gliederung 1"/>
    <w:qFormat/>
    <w:pPr>
      <w:spacing w:before="283" w:line="200" w:lineRule="atLeast"/>
    </w:pPr>
    <w:rPr>
      <w:rFonts w:ascii="DejaVu Sans" w:eastAsia="DejaVu Sans" w:hAnsi="DejaVu Sans" w:cs="Liberation Sans"/>
      <w:color w:val="000000"/>
      <w:kern w:val="2"/>
      <w:sz w:val="36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</w:style>
  <w:style w:type="paragraph" w:customStyle="1" w:styleId="BlankSlideLTGliederung3">
    <w:name w:val="Blank Slide~LT~Gliederung 3"/>
    <w:basedOn w:val="BlankSlideLTGliederung2"/>
    <w:qFormat/>
    <w:pPr>
      <w:spacing w:before="170"/>
    </w:pPr>
  </w:style>
  <w:style w:type="paragraph" w:customStyle="1" w:styleId="BlankSlideLTGliederung4">
    <w:name w:val="Blank Slide~LT~Gliederung 4"/>
    <w:basedOn w:val="BlankSlideLTGliederung3"/>
    <w:qFormat/>
    <w:pPr>
      <w:spacing w:before="113"/>
    </w:pPr>
  </w:style>
  <w:style w:type="paragraph" w:customStyle="1" w:styleId="BlankSlideLTGliederung5">
    <w:name w:val="Blank Slide~LT~Gliederung 5"/>
    <w:basedOn w:val="BlankSlideLTGliederung4"/>
    <w:qFormat/>
    <w:pPr>
      <w:spacing w:before="57"/>
    </w:pPr>
    <w:rPr>
      <w:sz w:val="40"/>
    </w:r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spacing w:after="160" w:line="200" w:lineRule="atLeast"/>
    </w:pPr>
    <w:rPr>
      <w:rFonts w:ascii="DejaVu Sans" w:eastAsia="DejaVu Sans" w:hAnsi="DejaVu Sans" w:cs="Liberation Sans"/>
      <w:color w:val="000000"/>
      <w:kern w:val="2"/>
      <w:sz w:val="36"/>
      <w:szCs w:val="24"/>
    </w:rPr>
  </w:style>
  <w:style w:type="paragraph" w:customStyle="1" w:styleId="BlankSlideLTUntertitel">
    <w:name w:val="Blank Slide~LT~Untertitel"/>
    <w:qFormat/>
    <w:pPr>
      <w:spacing w:after="160" w:line="259" w:lineRule="auto"/>
      <w:jc w:val="center"/>
    </w:pPr>
    <w:rPr>
      <w:rFonts w:ascii="Lohit Devanagari" w:eastAsia="DejaVu Sans" w:hAnsi="Lohit Devanagari" w:cs="Liberation Sans"/>
      <w:kern w:val="2"/>
      <w:sz w:val="64"/>
      <w:szCs w:val="24"/>
    </w:rPr>
  </w:style>
  <w:style w:type="paragraph" w:customStyle="1" w:styleId="BlankSlideLTNotizen">
    <w:name w:val="Blank Slide~LT~Notizen"/>
    <w:qFormat/>
    <w:pPr>
      <w:spacing w:after="160" w:line="259" w:lineRule="auto"/>
      <w:ind w:left="340" w:hanging="340"/>
    </w:pPr>
    <w:rPr>
      <w:rFonts w:ascii="Lohit Devanagari" w:eastAsia="DejaVu Sans" w:hAnsi="Lohit Devanagari" w:cs="Liberation Sans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BlankSlideLTHintergrund">
    <w:name w:val="Blank Slide~LT~Hintergrund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Lohit Devanagari" w:eastAsia="DejaVu Sans" w:hAnsi="Lohit Devanagari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8">
    <w:name w:val="Объекты фона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afff9">
    <w:name w:val="Фон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afffa">
    <w:name w:val="Примечания"/>
    <w:qFormat/>
    <w:pPr>
      <w:spacing w:after="160" w:line="259" w:lineRule="auto"/>
      <w:ind w:left="340" w:hanging="340"/>
    </w:pPr>
    <w:rPr>
      <w:rFonts w:ascii="Lohit Devanagari" w:eastAsia="DejaVu Sans" w:hAnsi="Lohit Devanagari" w:cs="Liberation Sans"/>
      <w:kern w:val="2"/>
      <w:sz w:val="40"/>
      <w:szCs w:val="24"/>
    </w:rPr>
  </w:style>
  <w:style w:type="paragraph" w:customStyle="1" w:styleId="12">
    <w:name w:val="Структура 1"/>
    <w:qFormat/>
    <w:pPr>
      <w:spacing w:before="283" w:line="200" w:lineRule="atLeast"/>
    </w:pPr>
    <w:rPr>
      <w:rFonts w:ascii="DejaVu Sans" w:eastAsia="DejaVu Sans" w:hAnsi="DejaVu Sans" w:cs="Liberation Sans"/>
      <w:color w:val="000000"/>
      <w:kern w:val="2"/>
      <w:sz w:val="36"/>
      <w:szCs w:val="24"/>
    </w:rPr>
  </w:style>
  <w:style w:type="paragraph" w:customStyle="1" w:styleId="27">
    <w:name w:val="Структура 2"/>
    <w:basedOn w:val="12"/>
    <w:qFormat/>
    <w:pPr>
      <w:spacing w:before="227"/>
    </w:pPr>
  </w:style>
  <w:style w:type="paragraph" w:customStyle="1" w:styleId="33">
    <w:name w:val="Структура 3"/>
    <w:basedOn w:val="27"/>
    <w:qFormat/>
    <w:pPr>
      <w:spacing w:before="170"/>
    </w:pPr>
  </w:style>
  <w:style w:type="paragraph" w:customStyle="1" w:styleId="44">
    <w:name w:val="Структура 4"/>
    <w:basedOn w:val="33"/>
    <w:qFormat/>
    <w:pPr>
      <w:spacing w:before="113"/>
    </w:pPr>
  </w:style>
  <w:style w:type="paragraph" w:customStyle="1" w:styleId="5">
    <w:name w:val="Структура 5"/>
    <w:basedOn w:val="44"/>
    <w:qFormat/>
    <w:pPr>
      <w:spacing w:before="57"/>
    </w:pPr>
    <w:rPr>
      <w:sz w:val="40"/>
    </w:r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TitleSlideLTGliederung1">
    <w:name w:val="Title Slide~LT~Gliederung 1"/>
    <w:qFormat/>
    <w:pPr>
      <w:spacing w:before="283" w:line="200" w:lineRule="atLeast"/>
    </w:pPr>
    <w:rPr>
      <w:rFonts w:ascii="DejaVu Sans" w:eastAsia="DejaVu Sans" w:hAnsi="DejaVu Sans" w:cs="Liberation Sans"/>
      <w:color w:val="000000"/>
      <w:kern w:val="2"/>
      <w:sz w:val="36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</w:style>
  <w:style w:type="paragraph" w:customStyle="1" w:styleId="TitleSlideLTGliederung3">
    <w:name w:val="Title Slide~LT~Gliederung 3"/>
    <w:basedOn w:val="TitleSlideLTGliederung2"/>
    <w:qFormat/>
    <w:pPr>
      <w:spacing w:before="170"/>
    </w:p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after="160" w:line="200" w:lineRule="atLeast"/>
    </w:pPr>
    <w:rPr>
      <w:rFonts w:ascii="DejaVu Sans" w:eastAsia="DejaVu Sans" w:hAnsi="DejaVu Sans" w:cs="Liberation Sans"/>
      <w:color w:val="000000"/>
      <w:kern w:val="2"/>
      <w:sz w:val="36"/>
      <w:szCs w:val="24"/>
    </w:rPr>
  </w:style>
  <w:style w:type="paragraph" w:customStyle="1" w:styleId="TitleSlideLTUntertitel">
    <w:name w:val="Title Slide~LT~Untertitel"/>
    <w:qFormat/>
    <w:pPr>
      <w:spacing w:after="160" w:line="259" w:lineRule="auto"/>
      <w:jc w:val="center"/>
    </w:pPr>
    <w:rPr>
      <w:rFonts w:ascii="Lohit Devanagari" w:eastAsia="DejaVu Sans" w:hAnsi="Lohit Devanagari" w:cs="Liberation Sans"/>
      <w:kern w:val="2"/>
      <w:sz w:val="64"/>
      <w:szCs w:val="24"/>
    </w:rPr>
  </w:style>
  <w:style w:type="paragraph" w:customStyle="1" w:styleId="TitleSlideLTNotizen">
    <w:name w:val="Title Slide~LT~Notizen"/>
    <w:qFormat/>
    <w:pPr>
      <w:spacing w:after="160" w:line="259" w:lineRule="auto"/>
      <w:ind w:left="340" w:hanging="340"/>
    </w:pPr>
    <w:rPr>
      <w:rFonts w:ascii="Lohit Devanagari" w:eastAsia="DejaVu Sans" w:hAnsi="Lohit Devanagari" w:cs="Liberation Sans"/>
      <w:kern w:val="2"/>
      <w:sz w:val="40"/>
      <w:szCs w:val="24"/>
    </w:rPr>
  </w:style>
  <w:style w:type="paragraph" w:customStyle="1" w:styleId="TitleSlideLTHintergrundobjekte">
    <w:name w:val="Title Slide~LT~Hintergrundobjekte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paragraph" w:customStyle="1" w:styleId="TitleSlideLTHintergrund">
    <w:name w:val="Title Slide~LT~Hintergrund"/>
    <w:qFormat/>
    <w:pPr>
      <w:spacing w:after="160" w:line="259" w:lineRule="auto"/>
    </w:pPr>
    <w:rPr>
      <w:rFonts w:ascii="Liberation Serif" w:eastAsia="DejaVu Sans" w:hAnsi="Liberation Serif" w:cs="Liberation Sans"/>
      <w:kern w:val="2"/>
      <w:sz w:val="24"/>
      <w:szCs w:val="24"/>
    </w:rPr>
  </w:style>
  <w:style w:type="numbering" w:customStyle="1" w:styleId="13">
    <w:name w:val="Нет списка1"/>
    <w:uiPriority w:val="99"/>
    <w:semiHidden/>
    <w:unhideWhenUsed/>
    <w:qFormat/>
    <w:rsid w:val="008726FC"/>
  </w:style>
  <w:style w:type="table" w:styleId="afffb">
    <w:name w:val="Table Grid"/>
    <w:basedOn w:val="a1"/>
    <w:rsid w:val="008726F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756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AF57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2D46-FEFF-46A3-870E-C15A3350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9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Минченко Павел Николаевич</dc:creator>
  <dc:description/>
  <cp:lastModifiedBy>User400</cp:lastModifiedBy>
  <cp:revision>32</cp:revision>
  <cp:lastPrinted>2023-02-16T14:51:00Z</cp:lastPrinted>
  <dcterms:created xsi:type="dcterms:W3CDTF">2023-02-13T10:10:00Z</dcterms:created>
  <dcterms:modified xsi:type="dcterms:W3CDTF">2023-05-23T10:23:00Z</dcterms:modified>
  <dc:language>ru-RU</dc:language>
</cp:coreProperties>
</file>